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4E" w:rsidRDefault="00056BBD">
      <w:pPr>
        <w:pStyle w:val="BodyText"/>
        <w:ind w:left="48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17502" cy="10167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502" cy="101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4E" w:rsidRDefault="00056BBD">
      <w:pPr>
        <w:pStyle w:val="Title"/>
        <w:spacing w:line="237" w:lineRule="auto"/>
        <w:ind w:left="4281" w:right="4176"/>
      </w:pP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University of Jordan</w:t>
      </w:r>
      <w:r>
        <w:rPr>
          <w:spacing w:val="-51"/>
          <w:w w:val="90"/>
        </w:rPr>
        <w:t xml:space="preserve"> </w:t>
      </w:r>
      <w:r>
        <w:rPr>
          <w:w w:val="95"/>
        </w:rPr>
        <w:t>School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Engineering</w:t>
      </w:r>
    </w:p>
    <w:p w:rsidR="001F224E" w:rsidRDefault="00056BBD">
      <w:pPr>
        <w:pStyle w:val="Title"/>
      </w:pPr>
      <w:r>
        <w:rPr>
          <w:w w:val="90"/>
        </w:rPr>
        <w:t>Department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Chemical</w:t>
      </w:r>
      <w:r>
        <w:rPr>
          <w:spacing w:val="23"/>
          <w:w w:val="90"/>
        </w:rPr>
        <w:t xml:space="preserve"> </w:t>
      </w:r>
      <w:r>
        <w:rPr>
          <w:w w:val="90"/>
        </w:rPr>
        <w:t>Engineering</w:t>
      </w:r>
    </w:p>
    <w:p w:rsidR="001F224E" w:rsidRDefault="001F224E">
      <w:pPr>
        <w:pStyle w:val="BodyText"/>
        <w:spacing w:before="6"/>
        <w:rPr>
          <w:rFonts w:ascii="Times New Roman"/>
          <w:b/>
          <w:sz w:val="17"/>
        </w:rPr>
      </w:pPr>
    </w:p>
    <w:p w:rsidR="001F224E" w:rsidRDefault="00056BBD">
      <w:pPr>
        <w:spacing w:before="56" w:line="242" w:lineRule="auto"/>
        <w:ind w:left="119" w:right="8961" w:firstLine="100"/>
        <w:rPr>
          <w:rFonts w:ascii="Times New Roman"/>
          <w:sz w:val="24"/>
        </w:rPr>
      </w:pPr>
      <w:r>
        <w:pict>
          <v:shape id="_x0000_s1026" style="position:absolute;left:0;text-align:left;margin-left:36.15pt;margin-top:48.3pt;width:520.6pt;height:6.15pt;z-index:-251658752;mso-wrap-distance-left:0;mso-wrap-distance-right:0;mso-position-horizontal-relative:page" coordorigin="723,966" coordsize="10412,123" o:spt="100" adj="0,,0" path="m723,1002r,54l11135,1089r,-54l723,1002xm723,966r,18l11135,1017r,-18l723,96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Times New Roman"/>
          <w:spacing w:val="-2"/>
          <w:sz w:val="24"/>
        </w:rPr>
        <w:t>Academic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year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/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Semester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Lecturer: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later</w:t>
      </w:r>
    </w:p>
    <w:p w:rsidR="001F224E" w:rsidRDefault="001F224E">
      <w:pPr>
        <w:spacing w:line="242" w:lineRule="auto"/>
        <w:rPr>
          <w:rFonts w:ascii="Times New Roman"/>
          <w:sz w:val="24"/>
        </w:rPr>
        <w:sectPr w:rsidR="001F224E">
          <w:type w:val="continuous"/>
          <w:pgSz w:w="11920" w:h="16850"/>
          <w:pgMar w:top="660" w:right="600" w:bottom="280" w:left="500" w:header="720" w:footer="720" w:gutter="0"/>
          <w:cols w:space="720"/>
        </w:sectPr>
      </w:pPr>
    </w:p>
    <w:p w:rsidR="001F224E" w:rsidRDefault="001F224E">
      <w:pPr>
        <w:pStyle w:val="BodyText"/>
        <w:rPr>
          <w:rFonts w:ascii="Times New Roman"/>
        </w:rPr>
      </w:pPr>
    </w:p>
    <w:p w:rsidR="001F224E" w:rsidRDefault="001F224E">
      <w:pPr>
        <w:pStyle w:val="BodyText"/>
        <w:rPr>
          <w:rFonts w:ascii="Times New Roman"/>
        </w:rPr>
      </w:pPr>
    </w:p>
    <w:p w:rsidR="001F224E" w:rsidRDefault="001F224E">
      <w:pPr>
        <w:pStyle w:val="BodyText"/>
        <w:spacing w:before="9"/>
        <w:rPr>
          <w:rFonts w:ascii="Times New Roman"/>
          <w:sz w:val="20"/>
        </w:rPr>
      </w:pPr>
    </w:p>
    <w:p w:rsidR="001F224E" w:rsidRDefault="00056BBD">
      <w:pPr>
        <w:pStyle w:val="BodyText"/>
        <w:ind w:left="220"/>
      </w:pPr>
      <w:r>
        <w:rPr>
          <w:u w:val="single"/>
        </w:rPr>
        <w:t>Introduction:</w:t>
      </w:r>
    </w:p>
    <w:p w:rsidR="001F224E" w:rsidRDefault="00056BBD" w:rsidP="00386E07">
      <w:pPr>
        <w:spacing w:before="35"/>
        <w:ind w:left="251"/>
        <w:rPr>
          <w:i/>
          <w:sz w:val="24"/>
        </w:rPr>
      </w:pPr>
      <w:r>
        <w:br w:type="column"/>
      </w:r>
      <w:r>
        <w:rPr>
          <w:i/>
          <w:sz w:val="24"/>
        </w:rPr>
        <w:t>0915552 Water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Desalination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(2019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plan)</w:t>
      </w:r>
    </w:p>
    <w:p w:rsidR="001F224E" w:rsidRDefault="001F224E">
      <w:pPr>
        <w:rPr>
          <w:sz w:val="24"/>
        </w:rPr>
        <w:sectPr w:rsidR="001F224E">
          <w:type w:val="continuous"/>
          <w:pgSz w:w="11920" w:h="16850"/>
          <w:pgMar w:top="660" w:right="600" w:bottom="280" w:left="500" w:header="720" w:footer="720" w:gutter="0"/>
          <w:cols w:num="2" w:space="720" w:equalWidth="0">
            <w:col w:w="1438" w:space="1448"/>
            <w:col w:w="7934"/>
          </w:cols>
        </w:sectPr>
      </w:pPr>
    </w:p>
    <w:p w:rsidR="001F224E" w:rsidRDefault="001F224E">
      <w:pPr>
        <w:pStyle w:val="BodyText"/>
        <w:spacing w:before="1"/>
        <w:rPr>
          <w:i/>
          <w:sz w:val="15"/>
        </w:rPr>
      </w:pPr>
    </w:p>
    <w:p w:rsidR="001F224E" w:rsidRDefault="00056BBD">
      <w:pPr>
        <w:pStyle w:val="BodyText"/>
        <w:spacing w:before="57" w:line="276" w:lineRule="auto"/>
        <w:ind w:left="220" w:right="108"/>
        <w:jc w:val="both"/>
      </w:pPr>
      <w:r>
        <w:t>The chemical process of changing seawater into potable or fresh water</w:t>
      </w:r>
      <w:r>
        <w:rPr>
          <w:spacing w:val="49"/>
        </w:rPr>
        <w:t xml:space="preserve"> </w:t>
      </w:r>
      <w:r>
        <w:t>is called</w:t>
      </w:r>
      <w:r>
        <w:rPr>
          <w:spacing w:val="50"/>
        </w:rPr>
        <w:t xml:space="preserve"> </w:t>
      </w:r>
      <w:r>
        <w:t>desalination. Thermal distillation</w:t>
      </w:r>
      <w:r>
        <w:rPr>
          <w:spacing w:val="1"/>
        </w:rPr>
        <w:t xml:space="preserve"> </w:t>
      </w:r>
      <w:r>
        <w:t xml:space="preserve">and </w:t>
      </w:r>
      <w:hyperlink r:id="rId6" w:anchor="term1461">
        <w:r>
          <w:rPr>
            <w:i/>
          </w:rPr>
          <w:t>membrane</w:t>
        </w:r>
      </w:hyperlink>
      <w:r>
        <w:rPr>
          <w:i/>
        </w:rPr>
        <w:t xml:space="preserve"> </w:t>
      </w:r>
      <w:r>
        <w:t>processes are the two main</w:t>
      </w:r>
      <w:r>
        <w:t xml:space="preserve"> approaches used around the world to desalinize water. Desalination</w:t>
      </w:r>
      <w:r>
        <w:rPr>
          <w:spacing w:val="1"/>
        </w:rPr>
        <w:t xml:space="preserve"> </w:t>
      </w:r>
      <w:r>
        <w:t>processes 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 in municipal, industrial, or commercial applications. With improvements in technology,</w:t>
      </w:r>
      <w:r>
        <w:rPr>
          <w:spacing w:val="1"/>
        </w:rPr>
        <w:t xml:space="preserve"> </w:t>
      </w:r>
      <w:r>
        <w:t>desalination</w:t>
      </w:r>
      <w:r>
        <w:rPr>
          <w:spacing w:val="8"/>
        </w:rPr>
        <w:t xml:space="preserve"> </w:t>
      </w:r>
      <w:r>
        <w:t>processes</w:t>
      </w:r>
      <w:r>
        <w:rPr>
          <w:spacing w:val="12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becoming</w:t>
      </w:r>
      <w:r>
        <w:rPr>
          <w:spacing w:val="9"/>
        </w:rPr>
        <w:t xml:space="preserve"> </w:t>
      </w:r>
      <w:r>
        <w:t>cost-competitive</w:t>
      </w:r>
      <w:r>
        <w:rPr>
          <w:spacing w:val="8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methods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prod</w:t>
      </w:r>
      <w:r>
        <w:t>ucing</w:t>
      </w:r>
      <w:r>
        <w:rPr>
          <w:spacing w:val="9"/>
        </w:rPr>
        <w:t xml:space="preserve"> </w:t>
      </w:r>
      <w:r>
        <w:t>usable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respond</w:t>
      </w:r>
      <w:r>
        <w:rPr>
          <w:spacing w:val="8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 xml:space="preserve">a growing demand. Stand-alone desalination plants can use renewable </w:t>
      </w:r>
      <w:hyperlink r:id="rId7" w:anchor="term1370">
        <w:r>
          <w:rPr>
            <w:i/>
          </w:rPr>
          <w:t>energy</w:t>
        </w:r>
      </w:hyperlink>
      <w:r>
        <w:rPr>
          <w:i/>
        </w:rPr>
        <w:t xml:space="preserve"> </w:t>
      </w:r>
      <w:r>
        <w:t>to operate. The pure water that is</w:t>
      </w:r>
      <w:r>
        <w:rPr>
          <w:spacing w:val="1"/>
        </w:rPr>
        <w:t xml:space="preserve"> </w:t>
      </w:r>
      <w:r>
        <w:t>obtained after desalination must be re-mineralized to be adequate for human consumption. The concentrated brine</w:t>
      </w:r>
      <w:r>
        <w:rPr>
          <w:spacing w:val="1"/>
        </w:rPr>
        <w:t xml:space="preserve"> </w:t>
      </w:r>
      <w:r>
        <w:t>produced in</w:t>
      </w:r>
      <w:r>
        <w:rPr>
          <w:spacing w:val="-3"/>
        </w:rPr>
        <w:t xml:space="preserve"> </w:t>
      </w:r>
      <w:r>
        <w:t>desalination</w:t>
      </w:r>
      <w:r>
        <w:rPr>
          <w:spacing w:val="-3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disposed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properly.</w:t>
      </w:r>
    </w:p>
    <w:p w:rsidR="001F224E" w:rsidRDefault="001F224E">
      <w:pPr>
        <w:pStyle w:val="BodyText"/>
        <w:spacing w:before="4"/>
        <w:rPr>
          <w:sz w:val="16"/>
        </w:rPr>
      </w:pPr>
    </w:p>
    <w:p w:rsidR="00386E07" w:rsidRDefault="00056BBD" w:rsidP="00386E07">
      <w:pPr>
        <w:pStyle w:val="BodyText"/>
        <w:spacing w:before="1"/>
        <w:ind w:right="7933"/>
        <w:jc w:val="right"/>
      </w:pPr>
      <w:r>
        <w:rPr>
          <w:u w:val="single"/>
        </w:rPr>
        <w:t>Prerequisites:</w:t>
      </w:r>
      <w:r>
        <w:rPr>
          <w:spacing w:val="-4"/>
        </w:rPr>
        <w:t xml:space="preserve"> </w:t>
      </w:r>
      <w:r w:rsidR="00386E07">
        <w:t>0915452(2019)</w:t>
      </w:r>
    </w:p>
    <w:p w:rsidR="001F224E" w:rsidRDefault="001F224E" w:rsidP="00386E07">
      <w:pPr>
        <w:pStyle w:val="BodyText"/>
        <w:ind w:right="7894"/>
        <w:jc w:val="right"/>
      </w:pPr>
    </w:p>
    <w:p w:rsidR="001F224E" w:rsidRDefault="001F224E">
      <w:pPr>
        <w:pStyle w:val="BodyText"/>
      </w:pPr>
    </w:p>
    <w:p w:rsidR="001F224E" w:rsidRDefault="00056BBD">
      <w:pPr>
        <w:pStyle w:val="BodyText"/>
        <w:ind w:left="220"/>
        <w:jc w:val="both"/>
      </w:pPr>
      <w:r>
        <w:rPr>
          <w:u w:val="single"/>
        </w:rPr>
        <w:t>Textbook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references:</w:t>
      </w:r>
    </w:p>
    <w:p w:rsidR="001F224E" w:rsidRDefault="001F224E">
      <w:pPr>
        <w:pStyle w:val="BodyText"/>
        <w:spacing w:before="1"/>
        <w:rPr>
          <w:sz w:val="15"/>
        </w:rPr>
      </w:pPr>
    </w:p>
    <w:p w:rsidR="001F224E" w:rsidRDefault="00056BBD">
      <w:pPr>
        <w:pStyle w:val="ListParagraph"/>
        <w:numPr>
          <w:ilvl w:val="0"/>
          <w:numId w:val="1"/>
        </w:numPr>
        <w:tabs>
          <w:tab w:val="left" w:pos="941"/>
          <w:tab w:val="left" w:pos="2832"/>
        </w:tabs>
        <w:spacing w:before="56" w:line="271" w:lineRule="auto"/>
        <w:ind w:right="449"/>
        <w:rPr>
          <w:b/>
        </w:rPr>
      </w:pPr>
      <w:r>
        <w:rPr>
          <w:b/>
        </w:rPr>
        <w:t>Andrea</w:t>
      </w:r>
      <w:r>
        <w:rPr>
          <w:b/>
          <w:spacing w:val="65"/>
        </w:rPr>
        <w:t xml:space="preserve"> </w:t>
      </w:r>
      <w:proofErr w:type="spellStart"/>
      <w:r>
        <w:rPr>
          <w:b/>
        </w:rPr>
        <w:t>Cipollina</w:t>
      </w:r>
      <w:proofErr w:type="spellEnd"/>
      <w:r>
        <w:rPr>
          <w:b/>
        </w:rPr>
        <w:t>;</w:t>
      </w:r>
      <w:r>
        <w:rPr>
          <w:b/>
        </w:rPr>
        <w:tab/>
      </w:r>
      <w:proofErr w:type="spellStart"/>
      <w:r>
        <w:rPr>
          <w:b/>
        </w:rPr>
        <w:t>GiorgioMicale</w:t>
      </w:r>
      <w:proofErr w:type="spellEnd"/>
      <w:r>
        <w:rPr>
          <w:b/>
        </w:rPr>
        <w:t>;</w:t>
      </w:r>
      <w:r>
        <w:rPr>
          <w:b/>
          <w:spacing w:val="11"/>
        </w:rPr>
        <w:t xml:space="preserve"> </w:t>
      </w:r>
      <w:proofErr w:type="spellStart"/>
      <w:r>
        <w:rPr>
          <w:b/>
        </w:rPr>
        <w:t>LucioRizzuti</w:t>
      </w:r>
      <w:proofErr w:type="spellEnd"/>
      <w:r>
        <w:rPr>
          <w:b/>
        </w:rPr>
        <w:t>;</w:t>
      </w:r>
      <w:r>
        <w:rPr>
          <w:b/>
          <w:spacing w:val="13"/>
        </w:rPr>
        <w:t xml:space="preserve"> </w:t>
      </w:r>
      <w:r>
        <w:rPr>
          <w:b/>
        </w:rPr>
        <w:t>Seawater</w:t>
      </w:r>
      <w:r>
        <w:rPr>
          <w:b/>
          <w:spacing w:val="11"/>
        </w:rPr>
        <w:t xml:space="preserve"> </w:t>
      </w:r>
      <w:r>
        <w:rPr>
          <w:b/>
        </w:rPr>
        <w:t>Desalination:</w:t>
      </w:r>
      <w:r>
        <w:rPr>
          <w:b/>
          <w:spacing w:val="12"/>
        </w:rPr>
        <w:t xml:space="preserve"> </w:t>
      </w:r>
      <w:r>
        <w:rPr>
          <w:b/>
        </w:rPr>
        <w:t>Conventional</w:t>
      </w:r>
      <w:r>
        <w:rPr>
          <w:b/>
          <w:spacing w:val="12"/>
        </w:rPr>
        <w:t xml:space="preserve"> </w:t>
      </w:r>
      <w:r>
        <w:rPr>
          <w:b/>
        </w:rPr>
        <w:t>and</w:t>
      </w:r>
      <w:r>
        <w:rPr>
          <w:b/>
          <w:spacing w:val="11"/>
        </w:rPr>
        <w:t xml:space="preserve"> </w:t>
      </w:r>
      <w:r>
        <w:rPr>
          <w:b/>
        </w:rPr>
        <w:t>Renewable</w:t>
      </w:r>
      <w:r>
        <w:rPr>
          <w:b/>
          <w:spacing w:val="-47"/>
        </w:rPr>
        <w:t xml:space="preserve"> </w:t>
      </w:r>
      <w:r>
        <w:rPr>
          <w:b/>
        </w:rPr>
        <w:t>Energy</w:t>
      </w:r>
      <w:r>
        <w:rPr>
          <w:b/>
          <w:spacing w:val="-4"/>
        </w:rPr>
        <w:t xml:space="preserve"> </w:t>
      </w:r>
      <w:r>
        <w:rPr>
          <w:b/>
        </w:rPr>
        <w:t>Processes.</w:t>
      </w:r>
      <w:r>
        <w:rPr>
          <w:b/>
          <w:spacing w:val="2"/>
        </w:rPr>
        <w:t xml:space="preserve"> </w:t>
      </w:r>
      <w:r>
        <w:rPr>
          <w:b/>
        </w:rPr>
        <w:t>Springer-</w:t>
      </w:r>
      <w:proofErr w:type="spellStart"/>
      <w:r>
        <w:rPr>
          <w:b/>
        </w:rPr>
        <w:t>Verlag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Berlin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Heidelberg(</w:t>
      </w:r>
      <w:proofErr w:type="gramEnd"/>
      <w:r>
        <w:rPr>
          <w:b/>
        </w:rPr>
        <w:t>2009).</w:t>
      </w:r>
    </w:p>
    <w:p w:rsidR="001F224E" w:rsidRDefault="00056BBD">
      <w:pPr>
        <w:pStyle w:val="ListParagraph"/>
        <w:numPr>
          <w:ilvl w:val="0"/>
          <w:numId w:val="1"/>
        </w:numPr>
        <w:tabs>
          <w:tab w:val="left" w:pos="941"/>
        </w:tabs>
        <w:rPr>
          <w:b/>
        </w:rPr>
      </w:pPr>
      <w:r>
        <w:rPr>
          <w:b/>
        </w:rPr>
        <w:t>Jane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Kucera</w:t>
      </w:r>
      <w:proofErr w:type="spellEnd"/>
      <w:r>
        <w:rPr>
          <w:b/>
        </w:rPr>
        <w:t>;</w:t>
      </w:r>
      <w:r>
        <w:rPr>
          <w:b/>
          <w:spacing w:val="-8"/>
        </w:rPr>
        <w:t xml:space="preserve"> </w:t>
      </w:r>
      <w:r>
        <w:rPr>
          <w:b/>
        </w:rPr>
        <w:t>Desalination:</w:t>
      </w:r>
      <w:r>
        <w:rPr>
          <w:b/>
          <w:spacing w:val="-7"/>
        </w:rPr>
        <w:t xml:space="preserve"> </w:t>
      </w:r>
      <w:r>
        <w:rPr>
          <w:b/>
        </w:rPr>
        <w:t>Water</w:t>
      </w:r>
      <w:r>
        <w:rPr>
          <w:b/>
          <w:spacing w:val="-5"/>
        </w:rPr>
        <w:t xml:space="preserve"> </w:t>
      </w:r>
      <w:r>
        <w:rPr>
          <w:b/>
        </w:rPr>
        <w:t>from</w:t>
      </w:r>
      <w:r>
        <w:rPr>
          <w:b/>
          <w:spacing w:val="-8"/>
        </w:rPr>
        <w:t xml:space="preserve"> </w:t>
      </w:r>
      <w:r>
        <w:rPr>
          <w:b/>
        </w:rPr>
        <w:t>Water.</w:t>
      </w:r>
      <w:r>
        <w:rPr>
          <w:b/>
          <w:spacing w:val="-6"/>
        </w:rPr>
        <w:t xml:space="preserve"> </w:t>
      </w:r>
      <w:r>
        <w:rPr>
          <w:b/>
        </w:rPr>
        <w:t>Scrivener</w:t>
      </w:r>
      <w:r>
        <w:rPr>
          <w:b/>
          <w:spacing w:val="-4"/>
        </w:rPr>
        <w:t xml:space="preserve"> </w:t>
      </w:r>
      <w:r>
        <w:rPr>
          <w:b/>
        </w:rPr>
        <w:t>Publishing</w:t>
      </w:r>
      <w:r>
        <w:rPr>
          <w:b/>
          <w:spacing w:val="-6"/>
        </w:rPr>
        <w:t xml:space="preserve"> </w:t>
      </w:r>
      <w:r>
        <w:rPr>
          <w:b/>
        </w:rPr>
        <w:t>LLC</w:t>
      </w:r>
      <w:r>
        <w:rPr>
          <w:b/>
          <w:spacing w:val="-6"/>
        </w:rPr>
        <w:t xml:space="preserve"> </w:t>
      </w:r>
      <w:r>
        <w:rPr>
          <w:b/>
        </w:rPr>
        <w:t>(2014).</w:t>
      </w:r>
    </w:p>
    <w:p w:rsidR="001F224E" w:rsidRDefault="001F224E">
      <w:pPr>
        <w:pStyle w:val="BodyText"/>
        <w:spacing w:before="10"/>
        <w:rPr>
          <w:b/>
          <w:sz w:val="19"/>
        </w:rPr>
      </w:pPr>
    </w:p>
    <w:p w:rsidR="001F224E" w:rsidRDefault="00056BBD">
      <w:pPr>
        <w:pStyle w:val="BodyText"/>
        <w:spacing w:before="1"/>
        <w:ind w:left="220"/>
      </w:pPr>
      <w:r>
        <w:rPr>
          <w:u w:val="single"/>
        </w:rPr>
        <w:t>The following</w:t>
      </w:r>
      <w:r>
        <w:rPr>
          <w:spacing w:val="-3"/>
          <w:u w:val="single"/>
        </w:rPr>
        <w:t xml:space="preserve"> </w:t>
      </w:r>
      <w:r>
        <w:rPr>
          <w:u w:val="single"/>
        </w:rPr>
        <w:t>topic</w:t>
      </w:r>
      <w:r>
        <w:rPr>
          <w:spacing w:val="-8"/>
          <w:u w:val="single"/>
        </w:rPr>
        <w:t xml:space="preserve"> </w:t>
      </w:r>
      <w:r>
        <w:rPr>
          <w:u w:val="single"/>
        </w:rPr>
        <w:t>will be</w:t>
      </w:r>
      <w:r>
        <w:rPr>
          <w:spacing w:val="-6"/>
          <w:u w:val="single"/>
        </w:rPr>
        <w:t xml:space="preserve"> </w:t>
      </w:r>
      <w:r>
        <w:rPr>
          <w:u w:val="single"/>
        </w:rPr>
        <w:t>covered:</w:t>
      </w:r>
    </w:p>
    <w:p w:rsidR="001F224E" w:rsidRDefault="001F224E">
      <w:pPr>
        <w:pStyle w:val="BodyText"/>
        <w:spacing w:before="1"/>
        <w:rPr>
          <w:sz w:val="12"/>
        </w:rPr>
      </w:pPr>
    </w:p>
    <w:p w:rsidR="001F224E" w:rsidRDefault="00056BBD">
      <w:pPr>
        <w:spacing w:before="91"/>
        <w:ind w:left="220" w:right="6030"/>
        <w:rPr>
          <w:rFonts w:ascii="Times New Roman"/>
          <w:b/>
          <w:sz w:val="20"/>
        </w:rPr>
      </w:pPr>
      <w:r>
        <w:rPr>
          <w:rFonts w:ascii="Times New Roman"/>
          <w:b/>
          <w:color w:val="121212"/>
          <w:sz w:val="20"/>
        </w:rPr>
        <w:t>Seawater Desalination for Freshwater Production</w:t>
      </w:r>
      <w:r>
        <w:rPr>
          <w:rFonts w:ascii="Times New Roman"/>
          <w:b/>
          <w:color w:val="121212"/>
          <w:spacing w:val="1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Conventional Thermal Processes (MSF, MED, MVC)</w:t>
      </w:r>
      <w:r>
        <w:rPr>
          <w:rFonts w:ascii="Times New Roman"/>
          <w:b/>
          <w:color w:val="121212"/>
          <w:spacing w:val="-47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Membranes for Desalination (RO and NF)</w:t>
      </w:r>
      <w:r>
        <w:rPr>
          <w:rFonts w:ascii="Times New Roman"/>
          <w:b/>
          <w:color w:val="121212"/>
          <w:spacing w:val="1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Commercial</w:t>
      </w:r>
      <w:r>
        <w:rPr>
          <w:rFonts w:ascii="Times New Roman"/>
          <w:b/>
          <w:color w:val="121212"/>
          <w:spacing w:val="-3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Desalination</w:t>
      </w:r>
      <w:r>
        <w:rPr>
          <w:rFonts w:ascii="Times New Roman"/>
          <w:b/>
          <w:color w:val="121212"/>
          <w:spacing w:val="1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Technologies</w:t>
      </w:r>
    </w:p>
    <w:p w:rsidR="001F224E" w:rsidRDefault="00056BBD">
      <w:pPr>
        <w:spacing w:before="2"/>
        <w:ind w:left="220" w:right="8469"/>
        <w:rPr>
          <w:rFonts w:ascii="Times New Roman"/>
          <w:b/>
          <w:sz w:val="20"/>
        </w:rPr>
      </w:pPr>
      <w:r>
        <w:rPr>
          <w:rFonts w:ascii="Times New Roman"/>
          <w:b/>
          <w:color w:val="121212"/>
          <w:sz w:val="20"/>
        </w:rPr>
        <w:t>Nuclear Desalination</w:t>
      </w:r>
      <w:r>
        <w:rPr>
          <w:rFonts w:ascii="Times New Roman"/>
          <w:b/>
          <w:color w:val="121212"/>
          <w:spacing w:val="1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Solar Thermal Processes</w:t>
      </w:r>
      <w:r>
        <w:rPr>
          <w:rFonts w:ascii="Times New Roman"/>
          <w:b/>
          <w:color w:val="121212"/>
          <w:spacing w:val="-47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Membrane</w:t>
      </w:r>
      <w:r>
        <w:rPr>
          <w:rFonts w:ascii="Times New Roman"/>
          <w:b/>
          <w:color w:val="121212"/>
          <w:spacing w:val="-2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Distillation</w:t>
      </w:r>
      <w:bookmarkStart w:id="0" w:name="_GoBack"/>
      <w:bookmarkEnd w:id="0"/>
    </w:p>
    <w:p w:rsidR="001F224E" w:rsidRDefault="00056BBD">
      <w:pPr>
        <w:spacing w:before="2"/>
        <w:ind w:left="220" w:right="6030"/>
        <w:rPr>
          <w:rFonts w:ascii="Times New Roman"/>
          <w:b/>
          <w:sz w:val="20"/>
        </w:rPr>
      </w:pPr>
      <w:r>
        <w:rPr>
          <w:rFonts w:ascii="Times New Roman"/>
          <w:b/>
          <w:color w:val="121212"/>
          <w:sz w:val="20"/>
        </w:rPr>
        <w:t>Photovoltaic</w:t>
      </w:r>
      <w:r>
        <w:rPr>
          <w:rFonts w:ascii="Times New Roman"/>
          <w:b/>
          <w:color w:val="121212"/>
          <w:spacing w:val="-6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Reverse</w:t>
      </w:r>
      <w:r>
        <w:rPr>
          <w:rFonts w:ascii="Times New Roman"/>
          <w:b/>
          <w:color w:val="121212"/>
          <w:spacing w:val="-5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Osmosis</w:t>
      </w:r>
      <w:r>
        <w:rPr>
          <w:rFonts w:ascii="Times New Roman"/>
          <w:b/>
          <w:color w:val="121212"/>
          <w:spacing w:val="-8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and</w:t>
      </w:r>
      <w:r>
        <w:rPr>
          <w:rFonts w:ascii="Times New Roman"/>
          <w:b/>
          <w:color w:val="121212"/>
          <w:spacing w:val="-8"/>
          <w:sz w:val="20"/>
        </w:rPr>
        <w:t xml:space="preserve"> </w:t>
      </w:r>
      <w:proofErr w:type="spellStart"/>
      <w:r>
        <w:rPr>
          <w:rFonts w:ascii="Times New Roman"/>
          <w:b/>
          <w:color w:val="121212"/>
          <w:sz w:val="20"/>
        </w:rPr>
        <w:t>Electrodialysis</w:t>
      </w:r>
      <w:proofErr w:type="spellEnd"/>
      <w:r>
        <w:rPr>
          <w:rFonts w:ascii="Times New Roman"/>
          <w:b/>
          <w:color w:val="121212"/>
          <w:spacing w:val="-47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Protecting</w:t>
      </w:r>
      <w:r>
        <w:rPr>
          <w:rFonts w:ascii="Times New Roman"/>
          <w:b/>
          <w:color w:val="121212"/>
          <w:spacing w:val="-1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the</w:t>
      </w:r>
      <w:r>
        <w:rPr>
          <w:rFonts w:ascii="Times New Roman"/>
          <w:b/>
          <w:color w:val="121212"/>
          <w:spacing w:val="-5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Marine</w:t>
      </w:r>
      <w:r>
        <w:rPr>
          <w:rFonts w:ascii="Times New Roman"/>
          <w:b/>
          <w:color w:val="121212"/>
          <w:spacing w:val="-1"/>
          <w:sz w:val="20"/>
        </w:rPr>
        <w:t xml:space="preserve"> </w:t>
      </w:r>
      <w:r>
        <w:rPr>
          <w:rFonts w:ascii="Times New Roman"/>
          <w:b/>
          <w:color w:val="121212"/>
          <w:sz w:val="20"/>
        </w:rPr>
        <w:t>Environment</w:t>
      </w:r>
    </w:p>
    <w:p w:rsidR="001F224E" w:rsidRDefault="001F224E">
      <w:pPr>
        <w:pStyle w:val="BodyText"/>
        <w:rPr>
          <w:rFonts w:ascii="Times New Roman"/>
          <w:b/>
        </w:rPr>
      </w:pPr>
    </w:p>
    <w:p w:rsidR="001F224E" w:rsidRDefault="001F224E">
      <w:pPr>
        <w:pStyle w:val="BodyText"/>
        <w:rPr>
          <w:rFonts w:ascii="Times New Roman"/>
          <w:b/>
          <w:sz w:val="23"/>
        </w:rPr>
      </w:pPr>
    </w:p>
    <w:p w:rsidR="001F224E" w:rsidRDefault="00056BBD">
      <w:pPr>
        <w:pStyle w:val="BodyText"/>
        <w:ind w:left="220"/>
      </w:pPr>
      <w:r>
        <w:rPr>
          <w:u w:val="single"/>
        </w:rPr>
        <w:t>Evaluation</w:t>
      </w:r>
    </w:p>
    <w:p w:rsidR="001F224E" w:rsidRDefault="001F224E">
      <w:pPr>
        <w:pStyle w:val="BodyText"/>
        <w:spacing w:before="7"/>
        <w:rPr>
          <w:sz w:val="10"/>
        </w:rPr>
      </w:pPr>
    </w:p>
    <w:p w:rsidR="001F224E" w:rsidRDefault="00056BBD">
      <w:pPr>
        <w:pStyle w:val="BodyText"/>
        <w:spacing w:before="56"/>
        <w:ind w:left="119"/>
      </w:pPr>
      <w:r>
        <w:t>30%</w:t>
      </w:r>
      <w:r>
        <w:rPr>
          <w:spacing w:val="-2"/>
        </w:rPr>
        <w:t xml:space="preserve"> </w:t>
      </w:r>
      <w:r>
        <w:t>Midterm</w:t>
      </w:r>
      <w:r>
        <w:rPr>
          <w:spacing w:val="-1"/>
        </w:rPr>
        <w:t xml:space="preserve"> </w:t>
      </w:r>
      <w:r>
        <w:t>Exam</w:t>
      </w:r>
    </w:p>
    <w:p w:rsidR="001F224E" w:rsidRDefault="00056BBD">
      <w:pPr>
        <w:pStyle w:val="BodyText"/>
        <w:spacing w:before="3" w:line="237" w:lineRule="auto"/>
        <w:ind w:left="119" w:right="5243"/>
      </w:pPr>
      <w:r>
        <w:t>20% Homework, projects, and innovation &amp; ideas generation</w:t>
      </w:r>
      <w:r>
        <w:rPr>
          <w:spacing w:val="-47"/>
        </w:rPr>
        <w:t xml:space="preserve"> </w:t>
      </w:r>
      <w:r>
        <w:t>50% Final exam</w:t>
      </w:r>
    </w:p>
    <w:p w:rsidR="001F224E" w:rsidRDefault="001F224E">
      <w:pPr>
        <w:pStyle w:val="BodyText"/>
        <w:spacing w:before="1"/>
        <w:rPr>
          <w:sz w:val="21"/>
        </w:rPr>
      </w:pPr>
    </w:p>
    <w:p w:rsidR="001F224E" w:rsidRDefault="00056BBD" w:rsidP="00056BBD">
      <w:pPr>
        <w:pStyle w:val="BodyText"/>
        <w:spacing w:before="56"/>
        <w:ind w:left="119"/>
      </w:pPr>
      <w:r>
        <w:t>October</w:t>
      </w:r>
      <w:r>
        <w:rPr>
          <w:spacing w:val="-3"/>
        </w:rPr>
        <w:t xml:space="preserve"> </w:t>
      </w:r>
      <w:r>
        <w:rPr>
          <w:rFonts w:hint="cs"/>
          <w:rtl/>
        </w:rPr>
        <w:t>26</w:t>
      </w:r>
      <w:r>
        <w:t>,</w:t>
      </w:r>
      <w:r>
        <w:rPr>
          <w:spacing w:val="-3"/>
        </w:rPr>
        <w:t xml:space="preserve"> </w:t>
      </w:r>
      <w:r>
        <w:t>2023</w:t>
      </w:r>
    </w:p>
    <w:p w:rsidR="001F224E" w:rsidRDefault="001F224E">
      <w:pPr>
        <w:pStyle w:val="BodyText"/>
        <w:rPr>
          <w:sz w:val="17"/>
        </w:rPr>
      </w:pPr>
    </w:p>
    <w:p w:rsidR="001F224E" w:rsidRDefault="00056BBD">
      <w:pPr>
        <w:pStyle w:val="BodyText"/>
        <w:ind w:left="112"/>
        <w:jc w:val="center"/>
        <w:rPr>
          <w:rFonts w:ascii="Arial MT"/>
        </w:rPr>
      </w:pPr>
      <w:r>
        <w:rPr>
          <w:rFonts w:ascii="Arial MT"/>
        </w:rPr>
        <w:t>1</w:t>
      </w:r>
    </w:p>
    <w:sectPr w:rsidR="001F224E">
      <w:type w:val="continuous"/>
      <w:pgSz w:w="11920" w:h="16850"/>
      <w:pgMar w:top="66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1B0E"/>
    <w:multiLevelType w:val="hybridMultilevel"/>
    <w:tmpl w:val="41886D18"/>
    <w:lvl w:ilvl="0" w:tplc="A47481C2">
      <w:start w:val="1"/>
      <w:numFmt w:val="decimal"/>
      <w:lvlText w:val="%1."/>
      <w:lvlJc w:val="left"/>
      <w:pPr>
        <w:ind w:left="940" w:hanging="36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7B12E020">
      <w:numFmt w:val="bullet"/>
      <w:lvlText w:val="•"/>
      <w:lvlJc w:val="left"/>
      <w:pPr>
        <w:ind w:left="1927" w:hanging="363"/>
      </w:pPr>
      <w:rPr>
        <w:rFonts w:hint="default"/>
        <w:lang w:val="en-US" w:eastAsia="en-US" w:bidi="ar-SA"/>
      </w:rPr>
    </w:lvl>
    <w:lvl w:ilvl="2" w:tplc="B18CBA00">
      <w:numFmt w:val="bullet"/>
      <w:lvlText w:val="•"/>
      <w:lvlJc w:val="left"/>
      <w:pPr>
        <w:ind w:left="2914" w:hanging="363"/>
      </w:pPr>
      <w:rPr>
        <w:rFonts w:hint="default"/>
        <w:lang w:val="en-US" w:eastAsia="en-US" w:bidi="ar-SA"/>
      </w:rPr>
    </w:lvl>
    <w:lvl w:ilvl="3" w:tplc="1FCA00F0">
      <w:numFmt w:val="bullet"/>
      <w:lvlText w:val="•"/>
      <w:lvlJc w:val="left"/>
      <w:pPr>
        <w:ind w:left="3901" w:hanging="363"/>
      </w:pPr>
      <w:rPr>
        <w:rFonts w:hint="default"/>
        <w:lang w:val="en-US" w:eastAsia="en-US" w:bidi="ar-SA"/>
      </w:rPr>
    </w:lvl>
    <w:lvl w:ilvl="4" w:tplc="60CE12B0">
      <w:numFmt w:val="bullet"/>
      <w:lvlText w:val="•"/>
      <w:lvlJc w:val="left"/>
      <w:pPr>
        <w:ind w:left="4888" w:hanging="363"/>
      </w:pPr>
      <w:rPr>
        <w:rFonts w:hint="default"/>
        <w:lang w:val="en-US" w:eastAsia="en-US" w:bidi="ar-SA"/>
      </w:rPr>
    </w:lvl>
    <w:lvl w:ilvl="5" w:tplc="4E7C6F9C">
      <w:numFmt w:val="bullet"/>
      <w:lvlText w:val="•"/>
      <w:lvlJc w:val="left"/>
      <w:pPr>
        <w:ind w:left="5875" w:hanging="363"/>
      </w:pPr>
      <w:rPr>
        <w:rFonts w:hint="default"/>
        <w:lang w:val="en-US" w:eastAsia="en-US" w:bidi="ar-SA"/>
      </w:rPr>
    </w:lvl>
    <w:lvl w:ilvl="6" w:tplc="22C8D350">
      <w:numFmt w:val="bullet"/>
      <w:lvlText w:val="•"/>
      <w:lvlJc w:val="left"/>
      <w:pPr>
        <w:ind w:left="6862" w:hanging="363"/>
      </w:pPr>
      <w:rPr>
        <w:rFonts w:hint="default"/>
        <w:lang w:val="en-US" w:eastAsia="en-US" w:bidi="ar-SA"/>
      </w:rPr>
    </w:lvl>
    <w:lvl w:ilvl="7" w:tplc="4FF00024">
      <w:numFmt w:val="bullet"/>
      <w:lvlText w:val="•"/>
      <w:lvlJc w:val="left"/>
      <w:pPr>
        <w:ind w:left="7849" w:hanging="363"/>
      </w:pPr>
      <w:rPr>
        <w:rFonts w:hint="default"/>
        <w:lang w:val="en-US" w:eastAsia="en-US" w:bidi="ar-SA"/>
      </w:rPr>
    </w:lvl>
    <w:lvl w:ilvl="8" w:tplc="AFA62790">
      <w:numFmt w:val="bullet"/>
      <w:lvlText w:val="•"/>
      <w:lvlJc w:val="left"/>
      <w:pPr>
        <w:ind w:left="8836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224E"/>
    <w:rsid w:val="00056BBD"/>
    <w:rsid w:val="001F224E"/>
    <w:rsid w:val="0038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0CFD53"/>
  <w15:docId w15:val="{69B01E69-7FB2-4738-8932-732ED7CB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3674" w:right="357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"/>
      <w:ind w:left="94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wm.info/glossary/2/letter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wm.info/glossary/2/letter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7529B-8975-4F2C-AC4D-280B2F9919DC}"/>
</file>

<file path=customXml/itemProps2.xml><?xml version="1.0" encoding="utf-8"?>
<ds:datastoreItem xmlns:ds="http://schemas.openxmlformats.org/officeDocument/2006/customXml" ds:itemID="{25888F94-DE98-44A1-AD6E-0FAAF35C5734}"/>
</file>

<file path=customXml/itemProps3.xml><?xml version="1.0" encoding="utf-8"?>
<ds:datastoreItem xmlns:ds="http://schemas.openxmlformats.org/officeDocument/2006/customXml" ds:itemID="{E6D9EDD4-91A5-4DC8-98D5-7E675CF25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Rula Mustafa</cp:lastModifiedBy>
  <cp:revision>3</cp:revision>
  <dcterms:created xsi:type="dcterms:W3CDTF">2023-10-26T08:49:00Z</dcterms:created>
  <dcterms:modified xsi:type="dcterms:W3CDTF">2023-10-26T08:51:00Z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